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9" w:rsidRDefault="00A830B9" w:rsidP="0024723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</w:pPr>
    </w:p>
    <w:p w:rsidR="00A830B9" w:rsidRDefault="00A830B9" w:rsidP="00A830B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90675" cy="742950"/>
            <wp:effectExtent l="0" t="0" r="9525" b="0"/>
            <wp:docPr id="1" name="Рисунок 1" descr="Moldsilva lo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ldsilva log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B9" w:rsidRDefault="00A830B9" w:rsidP="00A830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30B9" w:rsidRDefault="00A830B9" w:rsidP="00A830B9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Comunicat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>ă,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Chișinău, 17aprilie, 2015</w:t>
      </w:r>
    </w:p>
    <w:p w:rsidR="00A830B9" w:rsidRPr="00A830B9" w:rsidRDefault="00A830B9" w:rsidP="0024723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ro-RO" w:eastAsia="ru-RU"/>
        </w:rPr>
      </w:pPr>
    </w:p>
    <w:p w:rsidR="00A830B9" w:rsidRDefault="00A830B9" w:rsidP="0024723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</w:pPr>
    </w:p>
    <w:p w:rsidR="00A830B9" w:rsidRDefault="00A830B9" w:rsidP="0024723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</w:pPr>
    </w:p>
    <w:p w:rsidR="0024723F" w:rsidRDefault="0024723F" w:rsidP="0024723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</w:pPr>
      <w:proofErr w:type="spellStart"/>
      <w:r w:rsidRPr="0024723F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>Peste</w:t>
      </w:r>
      <w:proofErr w:type="spellEnd"/>
      <w:r w:rsidRPr="0024723F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 xml:space="preserve"> 24 mii ha</w:t>
      </w:r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 xml:space="preserve"> de </w:t>
      </w:r>
      <w:proofErr w:type="spellStart"/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>pădure</w:t>
      </w:r>
      <w:proofErr w:type="spellEnd"/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 xml:space="preserve"> </w:t>
      </w:r>
      <w:proofErr w:type="spellStart"/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>vor</w:t>
      </w:r>
      <w:proofErr w:type="spellEnd"/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 xml:space="preserve"> fi </w:t>
      </w:r>
      <w:proofErr w:type="spellStart"/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>supuse</w:t>
      </w:r>
      <w:proofErr w:type="spellEnd"/>
      <w:r w:rsidR="00EC61F8" w:rsidRPr="00EC61F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4723F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>combaterii</w:t>
      </w:r>
      <w:proofErr w:type="spellEnd"/>
      <w:r w:rsidRPr="0024723F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4723F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  <w:t>aeriene</w:t>
      </w:r>
      <w:proofErr w:type="spellEnd"/>
    </w:p>
    <w:p w:rsidR="0024723F" w:rsidRPr="0024723F" w:rsidRDefault="0024723F" w:rsidP="0024723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US" w:eastAsia="ru-RU"/>
        </w:rPr>
      </w:pPr>
    </w:p>
    <w:p w:rsidR="001774A5" w:rsidRPr="00A830B9" w:rsidRDefault="00AD4FB1" w:rsidP="00A830B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- 09</w:t>
      </w:r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starea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vremii</w:t>
      </w:r>
      <w:proofErr w:type="spellEnd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etapele</w:t>
      </w:r>
      <w:proofErr w:type="spellEnd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dăunătorilor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6B2A" w:rsidRPr="00A830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gestionat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Moldsil</w:t>
      </w:r>
      <w:r w:rsidR="00E459B9" w:rsidRPr="00A830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E459B9" w:rsidRPr="00A830B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r w:rsidR="00E459B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59B9" w:rsidRPr="00A830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desfășoară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combaterea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aeriană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dăunătorilor</w:t>
      </w:r>
      <w:proofErr w:type="spell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>defoliatori</w:t>
      </w:r>
      <w:proofErr w:type="spellEnd"/>
      <w:r w:rsidR="00E459B9"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557F0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Suprafaț</w:t>
      </w:r>
      <w:proofErr w:type="gram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focarelor</w:t>
      </w:r>
      <w:proofErr w:type="spellEnd"/>
      <w:proofErr w:type="gram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daunatori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defoliatori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supusa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combaterii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aeriene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81092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24540 de ha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F50A39" w:rsidRPr="00A830B9">
        <w:rPr>
          <w:rFonts w:ascii="Times New Roman" w:hAnsi="Times New Roman" w:cs="Times New Roman"/>
          <w:sz w:val="28"/>
          <w:szCs w:val="28"/>
          <w:lang w:val="en-US"/>
        </w:rPr>
        <w:t>ntreprinderile</w:t>
      </w:r>
      <w:proofErr w:type="spellEnd"/>
      <w:r w:rsidR="00F50A3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A39" w:rsidRPr="00A830B9"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 w:rsidR="00F50A3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F50A39" w:rsidRPr="00A830B9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 w:rsidR="00F50A39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6242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ha,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Tighina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4570 ha,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Teleneș</w:t>
      </w:r>
      <w:r w:rsidR="00A04396" w:rsidRPr="00A830B9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="00A0439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4525 ha,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Sil-Răzeni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3285 ha,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Cimișlia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1372 ha,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350 ha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>zervația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Naturală</w:t>
      </w:r>
      <w:proofErr w:type="spellEnd"/>
      <w:r w:rsidR="00C43454" w:rsidRPr="00A830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>Plaiul</w:t>
      </w:r>
      <w:proofErr w:type="spellEnd"/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>Fagului</w:t>
      </w:r>
      <w:proofErr w:type="spellEnd"/>
      <w:r w:rsidR="00162FDD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– 4200 ha</w:t>
      </w:r>
      <w:r w:rsidR="00C43454"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74A5" w:rsidRPr="00A830B9" w:rsidRDefault="001774A5" w:rsidP="001774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Pericolul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>afectării</w:t>
      </w:r>
      <w:proofErr w:type="spellEnd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complex de </w:t>
      </w:r>
      <w:proofErr w:type="spellStart"/>
      <w:r w:rsidR="007679B2" w:rsidRPr="00A830B9">
        <w:rPr>
          <w:rFonts w:ascii="Times New Roman" w:hAnsi="Times New Roman" w:cs="Times New Roman"/>
          <w:sz w:val="28"/>
          <w:szCs w:val="28"/>
          <w:lang w:val="en-US"/>
        </w:rPr>
        <w:t>dăunători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vegetației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forestiere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prognozei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cercetărilor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silvo-p</w:t>
      </w:r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>atologice</w:t>
      </w:r>
      <w:proofErr w:type="spellEnd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5E153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primăvara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întreprinderile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Monitoring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Pădurilor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Institutului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Amenajări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74A5" w:rsidRPr="00A830B9" w:rsidRDefault="004C0986" w:rsidP="001774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>lucră</w:t>
      </w:r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>antrenate</w:t>
      </w:r>
      <w:proofErr w:type="spellEnd"/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5FB8" w:rsidRPr="00A830B9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elicoptere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utilizează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instalația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stropit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volum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consum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ultra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redus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folosirea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preparatelor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diflubenzuron</w:t>
      </w:r>
      <w:proofErr w:type="spellEnd"/>
      <w:proofErr w:type="gram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esfenvalerat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cțiuni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respective</w:t>
      </w:r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contribui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ameliorarea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pădurilor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menținerea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balanțe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optimale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biodiversității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păduri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Combaterea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dăunătorilor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componentă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importantă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managementul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>ctorului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realizate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combatere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aeriană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dăunătorilor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defoliatori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>fore</w:t>
      </w:r>
      <w:r w:rsidRPr="00A830B9">
        <w:rPr>
          <w:rFonts w:ascii="Times New Roman" w:hAnsi="Times New Roman" w:cs="Times New Roman"/>
          <w:sz w:val="28"/>
          <w:szCs w:val="28"/>
          <w:lang w:val="en-US"/>
        </w:rPr>
        <w:t>stier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circa 31</w:t>
      </w:r>
      <w:r w:rsidR="001774A5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mii ha.</w:t>
      </w:r>
      <w:proofErr w:type="gramEnd"/>
    </w:p>
    <w:p w:rsidR="001774A5" w:rsidRPr="00A830B9" w:rsidRDefault="001774A5" w:rsidP="001774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Acțiunile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protecție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pădurilor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întreprinse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silvicultori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830B9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impact </w:t>
      </w:r>
      <w:proofErr w:type="spellStart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suprafețelor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adiacente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suprimarea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focare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dăunători</w:t>
      </w:r>
      <w:proofErr w:type="spellEnd"/>
      <w:r w:rsidR="00C7118E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="00C7118E" w:rsidRPr="00A830B9">
        <w:rPr>
          <w:rFonts w:ascii="Times New Roman" w:hAnsi="Times New Roman" w:cs="Times New Roman"/>
          <w:sz w:val="28"/>
          <w:szCs w:val="28"/>
          <w:lang w:val="en-US"/>
        </w:rPr>
        <w:t>inevitabil</w:t>
      </w:r>
      <w:proofErr w:type="spellEnd"/>
      <w:r w:rsidR="00C7118E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="00C7118E" w:rsidRPr="00A830B9">
        <w:rPr>
          <w:rFonts w:ascii="Times New Roman" w:hAnsi="Times New Roman" w:cs="Times New Roman"/>
          <w:sz w:val="28"/>
          <w:szCs w:val="28"/>
          <w:lang w:val="en-US"/>
        </w:rPr>
        <w:t>afecta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terenurile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 w:rsidR="00AD4FB1"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1E41" w:rsidRDefault="001774A5" w:rsidP="001774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30B9">
        <w:rPr>
          <w:rFonts w:ascii="Times New Roman" w:hAnsi="Times New Roman" w:cs="Times New Roman"/>
          <w:sz w:val="28"/>
          <w:szCs w:val="28"/>
          <w:lang w:val="en-US"/>
        </w:rPr>
        <w:lastRenderedPageBreak/>
        <w:t>Agenția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Moldsilva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informează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preparatele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folosite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combaterii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aeriene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dăunătoare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periculoase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viața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omului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atenționăm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proprietarii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prisăci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preajma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zonelor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forestiere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loc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combaterea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aeriană</w:t>
      </w:r>
      <w:proofErr w:type="spellEnd"/>
      <w:proofErr w:type="gram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familiile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albine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închise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fel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interzisă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aflarea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animalelor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domestice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fond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supus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recomandat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populația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evite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colectarea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ciupercilor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0B9">
        <w:rPr>
          <w:rFonts w:ascii="Times New Roman" w:hAnsi="Times New Roman" w:cs="Times New Roman"/>
          <w:sz w:val="28"/>
          <w:szCs w:val="28"/>
          <w:lang w:val="en-US"/>
        </w:rPr>
        <w:t>afla</w:t>
      </w:r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pădure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odihnă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 w:rsidR="00150D66" w:rsidRPr="00A830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0B9" w:rsidRDefault="00A830B9" w:rsidP="001774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30B9" w:rsidRDefault="00A830B9" w:rsidP="001774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30B9" w:rsidRPr="00350D79" w:rsidRDefault="00A830B9" w:rsidP="001774A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>Viorica</w:t>
      </w:r>
      <w:proofErr w:type="spellEnd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>Caciuc</w:t>
      </w:r>
      <w:proofErr w:type="spellEnd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>Serviciul</w:t>
      </w:r>
      <w:proofErr w:type="spellEnd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>presă</w:t>
      </w:r>
      <w:proofErr w:type="spellEnd"/>
    </w:p>
    <w:p w:rsidR="00A830B9" w:rsidRPr="00350D79" w:rsidRDefault="00A830B9" w:rsidP="001774A5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50D79">
        <w:rPr>
          <w:rFonts w:ascii="Times New Roman" w:hAnsi="Times New Roman" w:cs="Times New Roman"/>
          <w:b/>
          <w:i/>
          <w:sz w:val="24"/>
          <w:szCs w:val="24"/>
          <w:lang w:val="en-US"/>
        </w:rPr>
        <w:t>Contact: 022 288 277, 069141201.</w:t>
      </w:r>
      <w:bookmarkStart w:id="0" w:name="_GoBack"/>
      <w:bookmarkEnd w:id="0"/>
    </w:p>
    <w:sectPr w:rsidR="00A830B9" w:rsidRPr="003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5"/>
    <w:rsid w:val="00150D66"/>
    <w:rsid w:val="00162FDD"/>
    <w:rsid w:val="001774A5"/>
    <w:rsid w:val="001E6449"/>
    <w:rsid w:val="0024723F"/>
    <w:rsid w:val="00316B2A"/>
    <w:rsid w:val="00350D79"/>
    <w:rsid w:val="004553A8"/>
    <w:rsid w:val="004C0986"/>
    <w:rsid w:val="005A6B8B"/>
    <w:rsid w:val="005E1531"/>
    <w:rsid w:val="007679B2"/>
    <w:rsid w:val="00810929"/>
    <w:rsid w:val="00825FB8"/>
    <w:rsid w:val="008B0F11"/>
    <w:rsid w:val="00A04396"/>
    <w:rsid w:val="00A31DE1"/>
    <w:rsid w:val="00A557F0"/>
    <w:rsid w:val="00A830B9"/>
    <w:rsid w:val="00AD4FB1"/>
    <w:rsid w:val="00C43454"/>
    <w:rsid w:val="00C7118E"/>
    <w:rsid w:val="00D03A31"/>
    <w:rsid w:val="00DA76EC"/>
    <w:rsid w:val="00E459B9"/>
    <w:rsid w:val="00EC61F8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2015-04-17T07:16:00Z</cp:lastPrinted>
  <dcterms:created xsi:type="dcterms:W3CDTF">2015-04-17T08:48:00Z</dcterms:created>
  <dcterms:modified xsi:type="dcterms:W3CDTF">2015-04-17T08:48:00Z</dcterms:modified>
</cp:coreProperties>
</file>